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1FA" w:rsidRPr="00CA41FA" w:rsidRDefault="00CA41FA" w:rsidP="00CA41FA">
      <w:pPr>
        <w:spacing w:before="100" w:beforeAutospacing="1" w:after="100" w:afterAutospacing="1"/>
        <w:jc w:val="center"/>
        <w:outlineLvl w:val="2"/>
        <w:rPr>
          <w:b/>
          <w:bCs/>
          <w:sz w:val="27"/>
          <w:szCs w:val="27"/>
        </w:rPr>
      </w:pPr>
      <w:r w:rsidRPr="00CA41FA">
        <w:rPr>
          <w:b/>
          <w:bCs/>
          <w:color w:val="003366"/>
          <w:sz w:val="27"/>
          <w:szCs w:val="27"/>
        </w:rPr>
        <w:t xml:space="preserve">Navigating Anti-Bribery Legislation: </w:t>
      </w:r>
    </w:p>
    <w:p w:rsidR="00CA41FA" w:rsidRPr="00CA41FA" w:rsidRDefault="00CA41FA" w:rsidP="00CA41FA">
      <w:pPr>
        <w:spacing w:before="100" w:beforeAutospacing="1" w:after="100" w:afterAutospacing="1"/>
        <w:jc w:val="center"/>
        <w:outlineLvl w:val="2"/>
        <w:rPr>
          <w:b/>
          <w:bCs/>
          <w:sz w:val="27"/>
          <w:szCs w:val="27"/>
        </w:rPr>
      </w:pPr>
      <w:r w:rsidRPr="00CA41FA">
        <w:rPr>
          <w:b/>
          <w:bCs/>
          <w:color w:val="003366"/>
          <w:sz w:val="27"/>
          <w:szCs w:val="27"/>
        </w:rPr>
        <w:t>Remaining Compliant and Competitive in the Global Marketplace</w:t>
      </w:r>
    </w:p>
    <w:p w:rsidR="00CA41FA" w:rsidRPr="00CA41FA" w:rsidRDefault="00CA41FA" w:rsidP="00CA41FA">
      <w:pPr>
        <w:spacing w:before="100" w:beforeAutospacing="1" w:after="100" w:afterAutospacing="1"/>
        <w:jc w:val="center"/>
        <w:outlineLvl w:val="3"/>
        <w:rPr>
          <w:b/>
          <w:bCs/>
        </w:rPr>
      </w:pPr>
      <w:r w:rsidRPr="00CA41FA">
        <w:rPr>
          <w:b/>
          <w:bCs/>
          <w:color w:val="008000"/>
        </w:rPr>
        <w:t>Friday, March 30, 2012</w:t>
      </w:r>
    </w:p>
    <w:p w:rsidR="00CA41FA" w:rsidRPr="00CA41FA" w:rsidRDefault="00CA41FA" w:rsidP="00CA41FA">
      <w:pPr>
        <w:jc w:val="center"/>
        <w:rPr>
          <w:i/>
          <w:iCs/>
        </w:rPr>
      </w:pPr>
      <w:r w:rsidRPr="00CA41FA">
        <w:rPr>
          <w:b/>
          <w:bCs/>
          <w:i/>
          <w:iCs/>
        </w:rPr>
        <w:t>1:30 p.m. – 4:30 p.m. (Reception Follows)</w:t>
      </w:r>
    </w:p>
    <w:p w:rsidR="00CA41FA" w:rsidRPr="00CA41FA" w:rsidRDefault="00CA41FA" w:rsidP="00CA41FA">
      <w:pPr>
        <w:jc w:val="center"/>
        <w:rPr>
          <w:i/>
          <w:iCs/>
        </w:rPr>
      </w:pPr>
      <w:r w:rsidRPr="00CA41FA">
        <w:rPr>
          <w:b/>
          <w:bCs/>
          <w:i/>
          <w:iCs/>
        </w:rPr>
        <w:t>Law School Moot Court Room</w:t>
      </w:r>
    </w:p>
    <w:p w:rsidR="00CA41FA" w:rsidRPr="00CA41FA" w:rsidRDefault="00CA41FA" w:rsidP="00CA41FA">
      <w:pPr>
        <w:jc w:val="center"/>
        <w:rPr>
          <w:i/>
          <w:iCs/>
        </w:rPr>
      </w:pPr>
      <w:r w:rsidRPr="00CA41FA">
        <w:rPr>
          <w:b/>
          <w:bCs/>
          <w:i/>
          <w:iCs/>
        </w:rPr>
        <w:t>2.5 Free CLEs (Approved)</w:t>
      </w:r>
    </w:p>
    <w:p w:rsidR="00CA41FA" w:rsidRPr="00CA41FA" w:rsidRDefault="00CA41FA" w:rsidP="00CA41FA">
      <w:pPr>
        <w:jc w:val="center"/>
        <w:rPr>
          <w:i/>
          <w:iCs/>
        </w:rPr>
      </w:pPr>
      <w:r w:rsidRPr="00CA41FA">
        <w:rPr>
          <w:i/>
          <w:iCs/>
        </w:rPr>
        <w:t> </w:t>
      </w:r>
    </w:p>
    <w:p w:rsidR="00CA41FA" w:rsidRPr="00CA41FA" w:rsidRDefault="00CA41FA" w:rsidP="00CA41FA">
      <w:pPr>
        <w:spacing w:before="100" w:beforeAutospacing="1" w:after="100" w:afterAutospacing="1"/>
        <w:jc w:val="center"/>
        <w:outlineLvl w:val="0"/>
        <w:rPr>
          <w:b/>
          <w:bCs/>
          <w:kern w:val="36"/>
          <w:sz w:val="48"/>
          <w:szCs w:val="48"/>
        </w:rPr>
      </w:pPr>
      <w:r w:rsidRPr="00CA41FA">
        <w:rPr>
          <w:b/>
          <w:bCs/>
          <w:color w:val="003366"/>
          <w:kern w:val="36"/>
          <w:sz w:val="48"/>
          <w:szCs w:val="48"/>
        </w:rPr>
        <w:t>Agenda</w:t>
      </w:r>
    </w:p>
    <w:p w:rsidR="00CA41FA" w:rsidRPr="00CA41FA" w:rsidRDefault="00CA41FA" w:rsidP="00CA41FA">
      <w:pPr>
        <w:spacing w:before="100" w:beforeAutospacing="1" w:after="100" w:afterAutospacing="1"/>
        <w:outlineLvl w:val="2"/>
        <w:rPr>
          <w:b/>
          <w:bCs/>
          <w:sz w:val="27"/>
          <w:szCs w:val="27"/>
        </w:rPr>
      </w:pPr>
      <w:r w:rsidRPr="00CA41FA">
        <w:rPr>
          <w:b/>
          <w:bCs/>
          <w:sz w:val="27"/>
          <w:szCs w:val="27"/>
        </w:rPr>
        <w:t xml:space="preserve"> 12:30 – 1:30 Registration </w:t>
      </w:r>
      <w:r w:rsidRPr="00CA41FA">
        <w:rPr>
          <w:b/>
          <w:bCs/>
          <w:color w:val="008000"/>
          <w:sz w:val="27"/>
          <w:szCs w:val="27"/>
        </w:rPr>
        <w:t>(Advanc</w:t>
      </w:r>
      <w:bookmarkStart w:id="0" w:name="_GoBack"/>
      <w:bookmarkEnd w:id="0"/>
      <w:r w:rsidRPr="00CA41FA">
        <w:rPr>
          <w:b/>
          <w:bCs/>
          <w:color w:val="008000"/>
          <w:sz w:val="27"/>
          <w:szCs w:val="27"/>
        </w:rPr>
        <w:t xml:space="preserve">ed Registration </w:t>
      </w:r>
      <w:r w:rsidRPr="00CA41FA">
        <w:rPr>
          <w:b/>
          <w:bCs/>
          <w:color w:val="008000"/>
          <w:sz w:val="27"/>
          <w:szCs w:val="27"/>
          <w:u w:val="single"/>
        </w:rPr>
        <w:t>Not Required</w:t>
      </w:r>
      <w:r w:rsidRPr="00CA41FA">
        <w:rPr>
          <w:b/>
          <w:bCs/>
          <w:color w:val="008000"/>
          <w:sz w:val="27"/>
          <w:szCs w:val="27"/>
        </w:rPr>
        <w:t>)</w:t>
      </w:r>
    </w:p>
    <w:p w:rsidR="00CA41FA" w:rsidRPr="00CA41FA" w:rsidRDefault="00CA41FA" w:rsidP="00CA41FA">
      <w:pPr>
        <w:spacing w:before="100" w:beforeAutospacing="1" w:after="100" w:afterAutospacing="1"/>
      </w:pPr>
      <w:r w:rsidRPr="00CA41FA">
        <w:t> </w:t>
      </w:r>
    </w:p>
    <w:p w:rsidR="00CA41FA" w:rsidRPr="00CA41FA" w:rsidRDefault="00CA41FA" w:rsidP="00CA41FA">
      <w:pPr>
        <w:spacing w:before="100" w:beforeAutospacing="1" w:after="100" w:afterAutospacing="1"/>
        <w:outlineLvl w:val="2"/>
        <w:rPr>
          <w:b/>
          <w:bCs/>
          <w:sz w:val="27"/>
          <w:szCs w:val="27"/>
        </w:rPr>
      </w:pPr>
      <w:r>
        <w:rPr>
          <w:b/>
          <w:bCs/>
          <w:noProof/>
          <w:color w:val="0000FF"/>
          <w:sz w:val="27"/>
          <w:szCs w:val="27"/>
        </w:rPr>
        <w:drawing>
          <wp:anchor distT="0" distB="0" distL="114300" distR="182880" simplePos="0" relativeHeight="251658240" behindDoc="0" locked="0" layoutInCell="1" allowOverlap="1">
            <wp:simplePos x="0" y="0"/>
            <wp:positionH relativeFrom="column">
              <wp:posOffset>0</wp:posOffset>
            </wp:positionH>
            <wp:positionV relativeFrom="paragraph">
              <wp:posOffset>635</wp:posOffset>
            </wp:positionV>
            <wp:extent cx="859536" cy="859536"/>
            <wp:effectExtent l="0" t="0" r="0" b="0"/>
            <wp:wrapSquare wrapText="bothSides"/>
            <wp:docPr id="5" name="Picture 5" descr="http://www.globalbusinesslawreview.org/wp-content/uploads/2011/03/M_SUNDAHL-150x15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lobalbusinesslawreview.org/wp-content/uploads/2011/03/M_SUNDAHL-150x150.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9536" cy="8595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41FA">
        <w:rPr>
          <w:b/>
          <w:bCs/>
          <w:sz w:val="27"/>
          <w:szCs w:val="27"/>
        </w:rPr>
        <w:t xml:space="preserve">1:30 – 1:40 </w:t>
      </w:r>
      <w:r w:rsidRPr="00CA41FA">
        <w:rPr>
          <w:b/>
          <w:bCs/>
          <w:i/>
          <w:iCs/>
          <w:sz w:val="27"/>
          <w:szCs w:val="27"/>
        </w:rPr>
        <w:t>Welcome and Introductory Remarks</w:t>
      </w:r>
      <w:r w:rsidRPr="00CA41FA">
        <w:rPr>
          <w:b/>
          <w:bCs/>
          <w:sz w:val="27"/>
          <w:szCs w:val="27"/>
        </w:rPr>
        <w:t xml:space="preserve"> by Mark J. </w:t>
      </w:r>
      <w:proofErr w:type="spellStart"/>
      <w:r w:rsidRPr="00CA41FA">
        <w:rPr>
          <w:b/>
          <w:bCs/>
          <w:sz w:val="27"/>
          <w:szCs w:val="27"/>
        </w:rPr>
        <w:t>Sundahl</w:t>
      </w:r>
      <w:proofErr w:type="spellEnd"/>
    </w:p>
    <w:p w:rsidR="00CA41FA" w:rsidRDefault="00CA41FA" w:rsidP="00CA41FA">
      <w:pPr>
        <w:spacing w:before="100" w:beforeAutospacing="1" w:after="100" w:afterAutospacing="1"/>
      </w:pPr>
      <w:r w:rsidRPr="00CA41FA">
        <w:t xml:space="preserve">Mr. </w:t>
      </w:r>
      <w:proofErr w:type="spellStart"/>
      <w:r w:rsidRPr="00CA41FA">
        <w:t>Sundahl</w:t>
      </w:r>
      <w:proofErr w:type="spellEnd"/>
      <w:r w:rsidRPr="00CA41FA">
        <w:t xml:space="preserve"> is Associate Dean for Administration and Professor of Law, Cleveland State University, Cleveland-Marshall College of Law.</w:t>
      </w:r>
    </w:p>
    <w:p w:rsidR="00CA41FA" w:rsidRPr="00CA41FA" w:rsidRDefault="00CA41FA" w:rsidP="00CA41FA">
      <w:pPr>
        <w:spacing w:before="100" w:beforeAutospacing="1" w:after="100" w:afterAutospacing="1"/>
      </w:pPr>
    </w:p>
    <w:p w:rsidR="00CA41FA" w:rsidRPr="00CA41FA" w:rsidRDefault="00CA41FA" w:rsidP="00CA41FA">
      <w:pPr>
        <w:spacing w:before="100" w:beforeAutospacing="1" w:after="100" w:afterAutospacing="1"/>
        <w:outlineLvl w:val="2"/>
        <w:rPr>
          <w:b/>
          <w:bCs/>
          <w:sz w:val="27"/>
          <w:szCs w:val="27"/>
        </w:rPr>
      </w:pPr>
      <w:r>
        <w:rPr>
          <w:b/>
          <w:bCs/>
          <w:noProof/>
          <w:color w:val="0000FF"/>
          <w:sz w:val="27"/>
          <w:szCs w:val="27"/>
        </w:rPr>
        <w:drawing>
          <wp:anchor distT="0" distB="0" distL="114300" distR="182880" simplePos="0" relativeHeight="251659264" behindDoc="0" locked="0" layoutInCell="1" allowOverlap="1">
            <wp:simplePos x="0" y="0"/>
            <wp:positionH relativeFrom="column">
              <wp:posOffset>0</wp:posOffset>
            </wp:positionH>
            <wp:positionV relativeFrom="paragraph">
              <wp:posOffset>-4445</wp:posOffset>
            </wp:positionV>
            <wp:extent cx="859536" cy="859536"/>
            <wp:effectExtent l="0" t="0" r="0" b="0"/>
            <wp:wrapSquare wrapText="bothSides"/>
            <wp:docPr id="4" name="Picture 4" descr="http://www.globalbusinesslawreview.org/wp-content/uploads/2012/01/Mbaku-John-3-25-11-1-150x15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lobalbusinesslawreview.org/wp-content/uploads/2012/01/Mbaku-John-3-25-11-1-150x150.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9536" cy="8595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41FA">
        <w:rPr>
          <w:b/>
          <w:bCs/>
          <w:sz w:val="27"/>
          <w:szCs w:val="27"/>
        </w:rPr>
        <w:t xml:space="preserve">1:40 – 2:20 </w:t>
      </w:r>
      <w:r w:rsidRPr="00CA41FA">
        <w:rPr>
          <w:b/>
          <w:bCs/>
          <w:i/>
          <w:iCs/>
          <w:sz w:val="27"/>
          <w:szCs w:val="27"/>
        </w:rPr>
        <w:t>The Impact of Int’l Law on the Struggle Against Corruption in Africa,</w:t>
      </w:r>
      <w:r w:rsidRPr="00CA41FA">
        <w:rPr>
          <w:b/>
          <w:bCs/>
          <w:sz w:val="27"/>
          <w:szCs w:val="27"/>
        </w:rPr>
        <w:t xml:space="preserve"> John </w:t>
      </w:r>
      <w:proofErr w:type="spellStart"/>
      <w:r w:rsidRPr="00CA41FA">
        <w:rPr>
          <w:b/>
          <w:bCs/>
          <w:sz w:val="27"/>
          <w:szCs w:val="27"/>
        </w:rPr>
        <w:t>Mukum</w:t>
      </w:r>
      <w:proofErr w:type="spellEnd"/>
      <w:r w:rsidRPr="00CA41FA">
        <w:rPr>
          <w:b/>
          <w:bCs/>
          <w:sz w:val="27"/>
          <w:szCs w:val="27"/>
        </w:rPr>
        <w:t xml:space="preserve"> </w:t>
      </w:r>
      <w:proofErr w:type="spellStart"/>
      <w:r w:rsidRPr="00CA41FA">
        <w:rPr>
          <w:b/>
          <w:bCs/>
          <w:sz w:val="27"/>
          <w:szCs w:val="27"/>
        </w:rPr>
        <w:t>Mbaku</w:t>
      </w:r>
      <w:proofErr w:type="spellEnd"/>
    </w:p>
    <w:p w:rsidR="00CA41FA" w:rsidRDefault="00CA41FA" w:rsidP="00CA41FA">
      <w:pPr>
        <w:spacing w:before="100" w:beforeAutospacing="1" w:after="100" w:afterAutospacing="1"/>
      </w:pPr>
      <w:r w:rsidRPr="00CA41FA">
        <w:t xml:space="preserve">Dr. </w:t>
      </w:r>
      <w:proofErr w:type="spellStart"/>
      <w:r w:rsidRPr="00CA41FA">
        <w:t>Mbaku</w:t>
      </w:r>
      <w:proofErr w:type="spellEnd"/>
      <w:r w:rsidRPr="00CA41FA">
        <w:t xml:space="preserve"> is the </w:t>
      </w:r>
      <w:proofErr w:type="spellStart"/>
      <w:r w:rsidRPr="00CA41FA">
        <w:t>Williard</w:t>
      </w:r>
      <w:proofErr w:type="spellEnd"/>
      <w:r w:rsidRPr="00CA41FA">
        <w:t xml:space="preserve"> L. </w:t>
      </w:r>
      <w:proofErr w:type="spellStart"/>
      <w:r w:rsidRPr="00CA41FA">
        <w:t>Eccles</w:t>
      </w:r>
      <w:proofErr w:type="spellEnd"/>
      <w:r w:rsidRPr="00CA41FA">
        <w:t xml:space="preserve"> Professor of Economics and John S. Hinckley Fellow at Weber State University, a Non-Resident Senior Fellow at the Brookings Institute, and an author.</w:t>
      </w:r>
    </w:p>
    <w:p w:rsidR="00CA41FA" w:rsidRPr="00CA41FA" w:rsidRDefault="00CA41FA" w:rsidP="00CA41FA">
      <w:pPr>
        <w:spacing w:before="100" w:beforeAutospacing="1" w:after="100" w:afterAutospacing="1"/>
      </w:pPr>
    </w:p>
    <w:p w:rsidR="00CA41FA" w:rsidRPr="00CA41FA" w:rsidRDefault="00CA41FA" w:rsidP="00CA41FA">
      <w:pPr>
        <w:spacing w:before="100" w:beforeAutospacing="1" w:after="100" w:afterAutospacing="1"/>
        <w:outlineLvl w:val="2"/>
        <w:rPr>
          <w:b/>
          <w:bCs/>
          <w:sz w:val="27"/>
          <w:szCs w:val="27"/>
        </w:rPr>
      </w:pPr>
      <w:r>
        <w:rPr>
          <w:b/>
          <w:bCs/>
          <w:i/>
          <w:iCs/>
          <w:noProof/>
          <w:color w:val="0000FF"/>
          <w:sz w:val="27"/>
          <w:szCs w:val="27"/>
        </w:rPr>
        <w:drawing>
          <wp:anchor distT="0" distB="0" distL="114300" distR="182880" simplePos="0" relativeHeight="251660288" behindDoc="0" locked="0" layoutInCell="1" allowOverlap="1">
            <wp:simplePos x="0" y="0"/>
            <wp:positionH relativeFrom="column">
              <wp:posOffset>0</wp:posOffset>
            </wp:positionH>
            <wp:positionV relativeFrom="paragraph">
              <wp:posOffset>4445</wp:posOffset>
            </wp:positionV>
            <wp:extent cx="859536" cy="859536"/>
            <wp:effectExtent l="0" t="0" r="0" b="0"/>
            <wp:wrapSquare wrapText="bothSides"/>
            <wp:docPr id="3" name="Picture 3" descr="http://www.globalbusinesslawreview.org/wp-content/uploads/2012/01/Biskup_Rob-150x150.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lobalbusinesslawreview.org/wp-content/uploads/2012/01/Biskup_Rob-150x150.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9536" cy="8595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41FA">
        <w:rPr>
          <w:b/>
          <w:bCs/>
          <w:i/>
          <w:iCs/>
          <w:sz w:val="27"/>
          <w:szCs w:val="27"/>
        </w:rPr>
        <w:t>2:20 – 3:00 Designing Effective Anti-Bribery Corporate Compliance Programs</w:t>
      </w:r>
      <w:r w:rsidRPr="00CA41FA">
        <w:rPr>
          <w:b/>
          <w:bCs/>
          <w:sz w:val="27"/>
          <w:szCs w:val="27"/>
        </w:rPr>
        <w:t xml:space="preserve">, Robert </w:t>
      </w:r>
      <w:proofErr w:type="spellStart"/>
      <w:r w:rsidRPr="00CA41FA">
        <w:rPr>
          <w:b/>
          <w:bCs/>
          <w:sz w:val="27"/>
          <w:szCs w:val="27"/>
        </w:rPr>
        <w:t>Biskup</w:t>
      </w:r>
      <w:proofErr w:type="spellEnd"/>
    </w:p>
    <w:p w:rsidR="00CA41FA" w:rsidRPr="00CA41FA" w:rsidRDefault="00CA41FA" w:rsidP="00CA41FA">
      <w:pPr>
        <w:spacing w:before="100" w:beforeAutospacing="1" w:after="100" w:afterAutospacing="1"/>
      </w:pPr>
      <w:r w:rsidRPr="00CA41FA">
        <w:t xml:space="preserve">Mr. </w:t>
      </w:r>
      <w:proofErr w:type="spellStart"/>
      <w:r w:rsidRPr="00CA41FA">
        <w:t>Biskup</w:t>
      </w:r>
      <w:proofErr w:type="spellEnd"/>
      <w:r w:rsidRPr="00CA41FA">
        <w:t xml:space="preserve"> is Director of Forensic and Dispute Services at Deloitte Financial Advisory Services LLP and former global chief compliance officer at Ford Motor Company with extensive experience handling sensitive regulatory matters and internal investigations.</w:t>
      </w:r>
    </w:p>
    <w:p w:rsidR="00CA41FA" w:rsidRPr="00CA41FA" w:rsidRDefault="00CA41FA" w:rsidP="00CA41FA">
      <w:pPr>
        <w:spacing w:before="100" w:beforeAutospacing="1" w:after="100" w:afterAutospacing="1"/>
        <w:jc w:val="center"/>
        <w:outlineLvl w:val="2"/>
        <w:rPr>
          <w:b/>
          <w:bCs/>
          <w:sz w:val="27"/>
          <w:szCs w:val="27"/>
        </w:rPr>
      </w:pPr>
      <w:r w:rsidRPr="00CA41FA">
        <w:rPr>
          <w:b/>
          <w:bCs/>
          <w:sz w:val="27"/>
          <w:szCs w:val="27"/>
        </w:rPr>
        <w:t> </w:t>
      </w:r>
      <w:r w:rsidRPr="00CA41FA">
        <w:rPr>
          <w:b/>
          <w:bCs/>
          <w:color w:val="008000"/>
          <w:sz w:val="27"/>
          <w:szCs w:val="27"/>
        </w:rPr>
        <w:t>Break</w:t>
      </w:r>
    </w:p>
    <w:p w:rsidR="00CA41FA" w:rsidRPr="00CA41FA" w:rsidRDefault="00CA41FA" w:rsidP="00CA41FA">
      <w:pPr>
        <w:spacing w:before="100" w:beforeAutospacing="1" w:after="100" w:afterAutospacing="1"/>
      </w:pPr>
      <w:r w:rsidRPr="00CA41FA">
        <w:lastRenderedPageBreak/>
        <w:t> </w:t>
      </w:r>
    </w:p>
    <w:p w:rsidR="00CA41FA" w:rsidRPr="00CA41FA" w:rsidRDefault="00CA41FA" w:rsidP="00CA41FA">
      <w:pPr>
        <w:spacing w:before="100" w:beforeAutospacing="1" w:after="100" w:afterAutospacing="1"/>
        <w:outlineLvl w:val="2"/>
        <w:rPr>
          <w:b/>
          <w:bCs/>
          <w:sz w:val="27"/>
          <w:szCs w:val="27"/>
        </w:rPr>
      </w:pPr>
      <w:r>
        <w:rPr>
          <w:b/>
          <w:bCs/>
          <w:noProof/>
          <w:color w:val="0000FF"/>
          <w:sz w:val="27"/>
          <w:szCs w:val="27"/>
        </w:rPr>
        <w:drawing>
          <wp:anchor distT="0" distB="0" distL="114300" distR="182880" simplePos="0" relativeHeight="251661312" behindDoc="0" locked="0" layoutInCell="1" allowOverlap="1">
            <wp:simplePos x="0" y="0"/>
            <wp:positionH relativeFrom="column">
              <wp:posOffset>0</wp:posOffset>
            </wp:positionH>
            <wp:positionV relativeFrom="paragraph">
              <wp:posOffset>-635</wp:posOffset>
            </wp:positionV>
            <wp:extent cx="859536" cy="859536"/>
            <wp:effectExtent l="0" t="0" r="0" b="0"/>
            <wp:wrapSquare wrapText="bothSides"/>
            <wp:docPr id="2" name="Picture 2" descr="http://www.globalbusinesslawreview.org/wp-content/uploads/2012/01/Deming.6457-2-150x150.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lobalbusinesslawreview.org/wp-content/uploads/2012/01/Deming.6457-2-150x150.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59536" cy="8595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41FA">
        <w:rPr>
          <w:b/>
          <w:bCs/>
          <w:sz w:val="27"/>
          <w:szCs w:val="27"/>
        </w:rPr>
        <w:t xml:space="preserve">3:10 – 3:50 </w:t>
      </w:r>
      <w:r w:rsidRPr="00CA41FA">
        <w:rPr>
          <w:b/>
          <w:bCs/>
          <w:i/>
          <w:iCs/>
          <w:sz w:val="27"/>
          <w:szCs w:val="27"/>
        </w:rPr>
        <w:t xml:space="preserve">Anti-Bribery Compliance: The Role of Internal Accounting Controls, </w:t>
      </w:r>
      <w:r w:rsidRPr="00CA41FA">
        <w:rPr>
          <w:b/>
          <w:bCs/>
          <w:sz w:val="27"/>
          <w:szCs w:val="27"/>
        </w:rPr>
        <w:t>Stuart H. Deming</w:t>
      </w:r>
    </w:p>
    <w:p w:rsidR="00CA41FA" w:rsidRPr="00CA41FA" w:rsidRDefault="00CA41FA" w:rsidP="00CA41FA">
      <w:pPr>
        <w:spacing w:before="100" w:beforeAutospacing="1" w:after="100" w:afterAutospacing="1"/>
      </w:pPr>
      <w:r w:rsidRPr="00CA41FA">
        <w:t>Mr. Deming is a best-selling author whose regulatory practice focuses on FCPA, economic sanctions, and other international business concerns including the UK Bribery Act and Sarbanes-Oxley.</w:t>
      </w:r>
    </w:p>
    <w:p w:rsidR="00CA41FA" w:rsidRPr="00CA41FA" w:rsidRDefault="00CA41FA" w:rsidP="00CA41FA">
      <w:pPr>
        <w:spacing w:before="100" w:beforeAutospacing="1" w:after="100" w:afterAutospacing="1"/>
      </w:pPr>
      <w:r w:rsidRPr="00CA41FA">
        <w:t> </w:t>
      </w:r>
    </w:p>
    <w:p w:rsidR="00CA41FA" w:rsidRPr="00CA41FA" w:rsidRDefault="00CA41FA" w:rsidP="00CA41FA">
      <w:pPr>
        <w:spacing w:before="100" w:beforeAutospacing="1" w:after="100" w:afterAutospacing="1"/>
        <w:outlineLvl w:val="2"/>
        <w:rPr>
          <w:b/>
          <w:bCs/>
          <w:sz w:val="27"/>
          <w:szCs w:val="27"/>
        </w:rPr>
      </w:pPr>
      <w:r>
        <w:rPr>
          <w:b/>
          <w:bCs/>
          <w:noProof/>
          <w:color w:val="0000FF"/>
          <w:sz w:val="27"/>
          <w:szCs w:val="27"/>
        </w:rPr>
        <w:drawing>
          <wp:anchor distT="0" distB="0" distL="114300" distR="182880" simplePos="0" relativeHeight="251662336" behindDoc="0" locked="0" layoutInCell="1" allowOverlap="1">
            <wp:simplePos x="0" y="0"/>
            <wp:positionH relativeFrom="column">
              <wp:posOffset>0</wp:posOffset>
            </wp:positionH>
            <wp:positionV relativeFrom="paragraph">
              <wp:posOffset>-635</wp:posOffset>
            </wp:positionV>
            <wp:extent cx="859536" cy="859536"/>
            <wp:effectExtent l="0" t="0" r="0" b="0"/>
            <wp:wrapSquare wrapText="bothSides"/>
            <wp:docPr id="1" name="Picture 1" descr="http://www.globalbusinesslawreview.org/wp-content/uploads/2012/01/Searby-Ned-4x5c-150x150.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lobalbusinesslawreview.org/wp-content/uploads/2012/01/Searby-Ned-4x5c-150x150.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59536" cy="8595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41FA">
        <w:rPr>
          <w:b/>
          <w:bCs/>
          <w:sz w:val="27"/>
          <w:szCs w:val="27"/>
        </w:rPr>
        <w:t xml:space="preserve">3:50 – 4:30  </w:t>
      </w:r>
      <w:r w:rsidRPr="00CA41FA">
        <w:rPr>
          <w:b/>
          <w:bCs/>
          <w:i/>
          <w:iCs/>
          <w:sz w:val="27"/>
          <w:szCs w:val="27"/>
        </w:rPr>
        <w:t>Expanding Anti-Bribery Compliance to Cover all Business Dealings, </w:t>
      </w:r>
      <w:r w:rsidRPr="00CA41FA">
        <w:rPr>
          <w:b/>
          <w:bCs/>
          <w:sz w:val="27"/>
          <w:szCs w:val="27"/>
        </w:rPr>
        <w:t xml:space="preserve">Edmund “Ned” </w:t>
      </w:r>
      <w:proofErr w:type="spellStart"/>
      <w:r w:rsidRPr="00CA41FA">
        <w:rPr>
          <w:b/>
          <w:bCs/>
          <w:sz w:val="27"/>
          <w:szCs w:val="27"/>
        </w:rPr>
        <w:t>Searby</w:t>
      </w:r>
      <w:proofErr w:type="spellEnd"/>
    </w:p>
    <w:p w:rsidR="00CA41FA" w:rsidRPr="00CA41FA" w:rsidRDefault="00CA41FA" w:rsidP="00CA41FA">
      <w:pPr>
        <w:spacing w:before="100" w:beforeAutospacing="1" w:after="100" w:afterAutospacing="1"/>
      </w:pPr>
      <w:r w:rsidRPr="00CA41FA">
        <w:t xml:space="preserve">Mr. </w:t>
      </w:r>
      <w:proofErr w:type="spellStart"/>
      <w:r w:rsidRPr="00CA41FA">
        <w:t>Searby</w:t>
      </w:r>
      <w:proofErr w:type="spellEnd"/>
      <w:r w:rsidRPr="00CA41FA">
        <w:t xml:space="preserve"> chairs McDonald Hopkins’ White Collar Crime, Antitrust and Securities practice and is a former federal prosecutor whose work included potential FCPA violations and industrial espionage.</w:t>
      </w:r>
    </w:p>
    <w:p w:rsidR="005B2ACD" w:rsidRDefault="005B2ACD"/>
    <w:sectPr w:rsidR="005B2A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1FA"/>
    <w:rsid w:val="005B2ACD"/>
    <w:rsid w:val="00CA41FA"/>
    <w:rsid w:val="00DB74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Address"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CA41FA"/>
    <w:pPr>
      <w:spacing w:before="100" w:beforeAutospacing="1" w:after="100" w:afterAutospacing="1"/>
      <w:outlineLvl w:val="0"/>
    </w:pPr>
    <w:rPr>
      <w:b/>
      <w:bCs/>
      <w:kern w:val="36"/>
      <w:sz w:val="48"/>
      <w:szCs w:val="48"/>
    </w:rPr>
  </w:style>
  <w:style w:type="paragraph" w:styleId="Heading3">
    <w:name w:val="heading 3"/>
    <w:basedOn w:val="Normal"/>
    <w:link w:val="Heading3Char"/>
    <w:uiPriority w:val="9"/>
    <w:qFormat/>
    <w:rsid w:val="00CA41FA"/>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CA41FA"/>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1FA"/>
    <w:rPr>
      <w:b/>
      <w:bCs/>
      <w:kern w:val="36"/>
      <w:sz w:val="48"/>
      <w:szCs w:val="48"/>
    </w:rPr>
  </w:style>
  <w:style w:type="character" w:customStyle="1" w:styleId="Heading3Char">
    <w:name w:val="Heading 3 Char"/>
    <w:basedOn w:val="DefaultParagraphFont"/>
    <w:link w:val="Heading3"/>
    <w:uiPriority w:val="9"/>
    <w:rsid w:val="00CA41FA"/>
    <w:rPr>
      <w:b/>
      <w:bCs/>
      <w:sz w:val="27"/>
      <w:szCs w:val="27"/>
    </w:rPr>
  </w:style>
  <w:style w:type="character" w:customStyle="1" w:styleId="Heading4Char">
    <w:name w:val="Heading 4 Char"/>
    <w:basedOn w:val="DefaultParagraphFont"/>
    <w:link w:val="Heading4"/>
    <w:uiPriority w:val="9"/>
    <w:rsid w:val="00CA41FA"/>
    <w:rPr>
      <w:b/>
      <w:bCs/>
      <w:sz w:val="24"/>
      <w:szCs w:val="24"/>
    </w:rPr>
  </w:style>
  <w:style w:type="paragraph" w:styleId="HTMLAddress">
    <w:name w:val="HTML Address"/>
    <w:basedOn w:val="Normal"/>
    <w:link w:val="HTMLAddressChar"/>
    <w:uiPriority w:val="99"/>
    <w:unhideWhenUsed/>
    <w:rsid w:val="00CA41FA"/>
    <w:rPr>
      <w:i/>
      <w:iCs/>
    </w:rPr>
  </w:style>
  <w:style w:type="character" w:customStyle="1" w:styleId="HTMLAddressChar">
    <w:name w:val="HTML Address Char"/>
    <w:basedOn w:val="DefaultParagraphFont"/>
    <w:link w:val="HTMLAddress"/>
    <w:uiPriority w:val="99"/>
    <w:rsid w:val="00CA41FA"/>
    <w:rPr>
      <w:i/>
      <w:iCs/>
      <w:sz w:val="24"/>
      <w:szCs w:val="24"/>
    </w:rPr>
  </w:style>
  <w:style w:type="character" w:styleId="Strong">
    <w:name w:val="Strong"/>
    <w:basedOn w:val="DefaultParagraphFont"/>
    <w:uiPriority w:val="22"/>
    <w:qFormat/>
    <w:rsid w:val="00CA41FA"/>
    <w:rPr>
      <w:b/>
      <w:bCs/>
    </w:rPr>
  </w:style>
  <w:style w:type="paragraph" w:styleId="NormalWeb">
    <w:name w:val="Normal (Web)"/>
    <w:basedOn w:val="Normal"/>
    <w:uiPriority w:val="99"/>
    <w:unhideWhenUsed/>
    <w:rsid w:val="00CA41FA"/>
    <w:pPr>
      <w:spacing w:before="100" w:beforeAutospacing="1" w:after="100" w:afterAutospacing="1"/>
    </w:pPr>
  </w:style>
  <w:style w:type="character" w:styleId="Emphasis">
    <w:name w:val="Emphasis"/>
    <w:basedOn w:val="DefaultParagraphFont"/>
    <w:uiPriority w:val="20"/>
    <w:qFormat/>
    <w:rsid w:val="00CA41FA"/>
    <w:rPr>
      <w:i/>
      <w:iCs/>
    </w:rPr>
  </w:style>
  <w:style w:type="paragraph" w:styleId="BalloonText">
    <w:name w:val="Balloon Text"/>
    <w:basedOn w:val="Normal"/>
    <w:link w:val="BalloonTextChar"/>
    <w:rsid w:val="00CA41FA"/>
    <w:rPr>
      <w:rFonts w:ascii="Tahoma" w:hAnsi="Tahoma" w:cs="Tahoma"/>
      <w:sz w:val="16"/>
      <w:szCs w:val="16"/>
    </w:rPr>
  </w:style>
  <w:style w:type="character" w:customStyle="1" w:styleId="BalloonTextChar">
    <w:name w:val="Balloon Text Char"/>
    <w:basedOn w:val="DefaultParagraphFont"/>
    <w:link w:val="BalloonText"/>
    <w:rsid w:val="00CA41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Address"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CA41FA"/>
    <w:pPr>
      <w:spacing w:before="100" w:beforeAutospacing="1" w:after="100" w:afterAutospacing="1"/>
      <w:outlineLvl w:val="0"/>
    </w:pPr>
    <w:rPr>
      <w:b/>
      <w:bCs/>
      <w:kern w:val="36"/>
      <w:sz w:val="48"/>
      <w:szCs w:val="48"/>
    </w:rPr>
  </w:style>
  <w:style w:type="paragraph" w:styleId="Heading3">
    <w:name w:val="heading 3"/>
    <w:basedOn w:val="Normal"/>
    <w:link w:val="Heading3Char"/>
    <w:uiPriority w:val="9"/>
    <w:qFormat/>
    <w:rsid w:val="00CA41FA"/>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CA41FA"/>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1FA"/>
    <w:rPr>
      <w:b/>
      <w:bCs/>
      <w:kern w:val="36"/>
      <w:sz w:val="48"/>
      <w:szCs w:val="48"/>
    </w:rPr>
  </w:style>
  <w:style w:type="character" w:customStyle="1" w:styleId="Heading3Char">
    <w:name w:val="Heading 3 Char"/>
    <w:basedOn w:val="DefaultParagraphFont"/>
    <w:link w:val="Heading3"/>
    <w:uiPriority w:val="9"/>
    <w:rsid w:val="00CA41FA"/>
    <w:rPr>
      <w:b/>
      <w:bCs/>
      <w:sz w:val="27"/>
      <w:szCs w:val="27"/>
    </w:rPr>
  </w:style>
  <w:style w:type="character" w:customStyle="1" w:styleId="Heading4Char">
    <w:name w:val="Heading 4 Char"/>
    <w:basedOn w:val="DefaultParagraphFont"/>
    <w:link w:val="Heading4"/>
    <w:uiPriority w:val="9"/>
    <w:rsid w:val="00CA41FA"/>
    <w:rPr>
      <w:b/>
      <w:bCs/>
      <w:sz w:val="24"/>
      <w:szCs w:val="24"/>
    </w:rPr>
  </w:style>
  <w:style w:type="paragraph" w:styleId="HTMLAddress">
    <w:name w:val="HTML Address"/>
    <w:basedOn w:val="Normal"/>
    <w:link w:val="HTMLAddressChar"/>
    <w:uiPriority w:val="99"/>
    <w:unhideWhenUsed/>
    <w:rsid w:val="00CA41FA"/>
    <w:rPr>
      <w:i/>
      <w:iCs/>
    </w:rPr>
  </w:style>
  <w:style w:type="character" w:customStyle="1" w:styleId="HTMLAddressChar">
    <w:name w:val="HTML Address Char"/>
    <w:basedOn w:val="DefaultParagraphFont"/>
    <w:link w:val="HTMLAddress"/>
    <w:uiPriority w:val="99"/>
    <w:rsid w:val="00CA41FA"/>
    <w:rPr>
      <w:i/>
      <w:iCs/>
      <w:sz w:val="24"/>
      <w:szCs w:val="24"/>
    </w:rPr>
  </w:style>
  <w:style w:type="character" w:styleId="Strong">
    <w:name w:val="Strong"/>
    <w:basedOn w:val="DefaultParagraphFont"/>
    <w:uiPriority w:val="22"/>
    <w:qFormat/>
    <w:rsid w:val="00CA41FA"/>
    <w:rPr>
      <w:b/>
      <w:bCs/>
    </w:rPr>
  </w:style>
  <w:style w:type="paragraph" w:styleId="NormalWeb">
    <w:name w:val="Normal (Web)"/>
    <w:basedOn w:val="Normal"/>
    <w:uiPriority w:val="99"/>
    <w:unhideWhenUsed/>
    <w:rsid w:val="00CA41FA"/>
    <w:pPr>
      <w:spacing w:before="100" w:beforeAutospacing="1" w:after="100" w:afterAutospacing="1"/>
    </w:pPr>
  </w:style>
  <w:style w:type="character" w:styleId="Emphasis">
    <w:name w:val="Emphasis"/>
    <w:basedOn w:val="DefaultParagraphFont"/>
    <w:uiPriority w:val="20"/>
    <w:qFormat/>
    <w:rsid w:val="00CA41FA"/>
    <w:rPr>
      <w:i/>
      <w:iCs/>
    </w:rPr>
  </w:style>
  <w:style w:type="paragraph" w:styleId="BalloonText">
    <w:name w:val="Balloon Text"/>
    <w:basedOn w:val="Normal"/>
    <w:link w:val="BalloonTextChar"/>
    <w:rsid w:val="00CA41FA"/>
    <w:rPr>
      <w:rFonts w:ascii="Tahoma" w:hAnsi="Tahoma" w:cs="Tahoma"/>
      <w:sz w:val="16"/>
      <w:szCs w:val="16"/>
    </w:rPr>
  </w:style>
  <w:style w:type="character" w:customStyle="1" w:styleId="BalloonTextChar">
    <w:name w:val="Balloon Text Char"/>
    <w:basedOn w:val="DefaultParagraphFont"/>
    <w:link w:val="BalloonText"/>
    <w:rsid w:val="00CA41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71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lobalbusinesslawreview.org/wp-content/uploads/2012/01/Searby-Ned-4x5c.jpg" TargetMode="External"/><Relationship Id="rId3" Type="http://schemas.openxmlformats.org/officeDocument/2006/relationships/settings" Target="settings.xml"/><Relationship Id="rId7" Type="http://schemas.openxmlformats.org/officeDocument/2006/relationships/hyperlink" Target="http://www.globalbusinesslawreview.org/wp-content/uploads/2012/01/Mbaku-John-3-25-11-1.jpg" TargetMode="External"/><Relationship Id="rId12" Type="http://schemas.openxmlformats.org/officeDocument/2006/relationships/image" Target="media/image4.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globalbusinesslawreview.org/wp-content/uploads/2012/01/Deming.6457-2.jpg" TargetMode="External"/><Relationship Id="rId5" Type="http://schemas.openxmlformats.org/officeDocument/2006/relationships/hyperlink" Target="http://www.globalbusinesslawreview.org/wp-content/uploads/2011/03/M_SUNDAHL.jpg"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lobalbusinesslawreview.org/wp-content/uploads/2012/01/Biskup_Rob.jpg"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C32A7368.dotm</Template>
  <TotalTime>2</TotalTime>
  <Pages>2</Pages>
  <Words>238</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Cleveland State University</Company>
  <LinksUpToDate>false</LinksUpToDate>
  <CharactersWithSpaces>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saltmeyer</dc:creator>
  <cp:keywords/>
  <dc:description/>
  <cp:lastModifiedBy>saltmeyer</cp:lastModifiedBy>
  <cp:revision>1</cp:revision>
  <dcterms:created xsi:type="dcterms:W3CDTF">2013-08-21T20:20:00Z</dcterms:created>
  <dcterms:modified xsi:type="dcterms:W3CDTF">2013-08-21T20:22:00Z</dcterms:modified>
</cp:coreProperties>
</file>